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7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July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717"/>
            <w:bookmarkEnd w:id="6"/>
            <w:r>
              <w:rPr>
                <w:rFonts w:ascii="Times New Roman;Times;Serif" w:hAnsi="Times New Roman;Times;Serif"/>
                <w:b/>
                <w:i w:val="false"/>
                <w:caps w:val="false"/>
                <w:smallCaps w:val="false"/>
                <w:sz w:val="20"/>
              </w:rPr>
              <w:t xml:space="preserve">001-35731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26-2123838</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3470"/>
        <w:gridCol w:w="60"/>
        <w:gridCol w:w="935"/>
      </w:tblGrid>
      <w:tr>
        <w:trPr/>
        <w:tc>
          <w:tcPr>
            <w:tcW w:w="34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6303 Waterford District Drive, </w:t>
            </w:r>
            <w:bookmarkStart w:id="9" w:name="xdx_908_edei--EntityAddressAddressLine2_"/>
            <w:bookmarkEnd w:id="9"/>
            <w:r>
              <w:rPr>
                <w:rFonts w:ascii="Times New Roman;Times;Serif" w:hAnsi="Times New Roman;Times;Serif"/>
                <w:b/>
                <w:i w:val="false"/>
                <w:caps w:val="false"/>
                <w:smallCaps w:val="false"/>
                <w:sz w:val="20"/>
              </w:rPr>
              <w:t>Suite 215</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Miami, </w:t>
            </w:r>
            <w:bookmarkStart w:id="11" w:name="xdx_90E_edei--EntityAddressStateOrProvin"/>
            <w:bookmarkEnd w:id="11"/>
            <w:r>
              <w:rPr>
                <w:rFonts w:ascii="Times New Roman;Times;Serif" w:hAnsi="Times New Roman;Times;Serif"/>
                <w:b/>
                <w:i w:val="false"/>
                <w:caps w:val="false"/>
                <w:smallCaps w:val="false"/>
                <w:sz w:val="20"/>
              </w:rPr>
              <w:t>Florida 33126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7_edei--EntityAddressPostalZipCode"/>
            <w:bookmarkEnd w:id="12"/>
            <w:r>
              <w:rPr>
                <w:rFonts w:ascii="Times New Roman;Times;Serif" w:hAnsi="Times New Roman;Times;Serif"/>
                <w:b/>
                <w:i w:val="false"/>
                <w:caps w:val="false"/>
                <w:smallCaps w:val="false"/>
                <w:sz w:val="20"/>
              </w:rPr>
              <w:t>33126</w:t>
            </w:r>
          </w:p>
        </w:tc>
      </w:tr>
      <w:tr>
        <w:trPr/>
        <w:tc>
          <w:tcPr>
            <w:tcW w:w="34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C_edei--CityAreaCode_c20260717__20"/>
      <w:bookmarkEnd w:id="13"/>
      <w:r>
        <w:rPr>
          <w:rFonts w:ascii="Times New Roman;Times;Serif" w:hAnsi="Times New Roman;Times;Serif"/>
          <w:b/>
          <w:i w:val="false"/>
          <w:caps w:val="false"/>
          <w:smallCaps w:val="false"/>
          <w:sz w:val="20"/>
        </w:rPr>
        <w:t xml:space="preserve">(888) </w:t>
      </w:r>
      <w:bookmarkStart w:id="14" w:name="xdx_90B_edei--LocalPhoneNumber_c20260717"/>
      <w:bookmarkEnd w:id="14"/>
      <w:r>
        <w:rPr>
          <w:rFonts w:ascii="Times New Roman;Times;Serif" w:hAnsi="Times New Roman;Times;Serif"/>
          <w:b/>
          <w:i w:val="false"/>
          <w:caps w:val="false"/>
          <w:smallCaps w:val="false"/>
          <w:sz w:val="20"/>
        </w:rPr>
        <w:t>776-6804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E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0_edei--SolicitingMaterial_c202607"/>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3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60717"/>
            <w:bookmarkEnd w:id="19"/>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0717__2"/>
            <w:bookmarkEnd w:id="20"/>
            <w:r>
              <w:rPr>
                <w:rFonts w:ascii="Times New Roman;Times;Serif" w:hAnsi="Times New Roman;Times;Serif"/>
                <w:b w:val="false"/>
                <w:i w:val="false"/>
                <w:caps w:val="false"/>
                <w:smallCaps w:val="false"/>
                <w:sz w:val="20"/>
              </w:rPr>
              <w:t>NSPR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A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InspireMD, Inc. (the “Company”) received a letter (the “Notice”) from the Listing Qualifications Department of The Nasdaq Stock Market LLC (“Nasdaq”) notifying the Company that it is not in compliance with the minimum bid price requirement for continued listing on The Nasdaq Capital Market under Nasdaq Listing Rule 5550(a)(2), which requires listed securities to maintain a minimum bid price of $1.00 per share for continued listing on The Nasdaq Capital Market. The Notice stated that, based upon the closing bid price of the Company’s common stock for the 30 consecutive business days from June 3, 2026 through July 16, 2026, the Company no longer satisfies the minimum bid price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listing or trading of the Company’s common stock, which will continue to trade on The Nasdaq Capital Market under the symbol “NSPR.”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5810(c)(3)(A), the Company has been provided a compliance period of 180 calendar days, or until January 13, 2027, to regain compliance with Nasdaq Listing Rule 5550(a)(2). To regain compliance, the closing bid price of the Company’s common stock must be at least $1.00 per share for a minimum of ten consecutive business days during the compliance period. Nasdaq may, in its discretion, require the Company to satisfy the minimum bid price requirement for a period in excess of ten consecutive business days before determining that the Company has demonstrated an ability to maintain long-term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by January 13, 2027, the Company may be eligible for an additional 180-calendar-day compliance period, provided that it satisfies the continued listing requirement for market value of publicly held shares and all other initial listing standards for The Nasdaq Capital Market, other than the minimum bid price requirement, and provides written notice to Nasdaq of its intention to cure the deficiency during the second compliance period, including, if necessary, by effecting a reverse stock split. If the Company is not eligible for an additional compliance period, or otherwise does not appear capable of curing the deficiency, Nasdaq may provide notice that the Company’s common stock will be subject to delisting. In that event, the Company would have the opportunity to appeal Nasdaq’s determination to a Nasdaq Hearings Panel.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actively monitor the closing bid price of its common stock and evaluate available options to regain compliance with the minimum bid price requirement, including, if necessary, effecting a reverse stock split. There can be no assurance that the Company will regain compliance with Nasdaq Listing Rule 5550(a)(2) during the initial compliance period or any additional compliance period, or that the Company will otherwise maintain compliance with the other Nasdaq listing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28" w:type="dxa"/>
          <w:right w:w="0" w:type="dxa"/>
        </w:tblCellMar>
      </w:tblPr>
      <w:tblGrid>
        <w:gridCol w:w="1400"/>
        <w:gridCol w:w="60"/>
        <w:gridCol w:w="648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70"/>
        <w:gridCol w:w="1130"/>
        <w:gridCol w:w="545"/>
        <w:gridCol w:w="1955"/>
      </w:tblGrid>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846</Words>
  <Characters>4632</Characters>
  <CharactersWithSpaces>5492</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