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COHEN RAYMOND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InspireMD,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NSPR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INSPIREMD,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01/14/2026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6303 WATERFORD DISTRICT DRIVE,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0" w:type="dxa"/>
            <w:vAlign w:val="bottom"/>
            <w:gridSpan w:val="3"/>
          </w:tcPr>
          <w:p>
            <w:pPr>
              <w:ind w:left="120"/>
              <w:spacing w:after="0" w:line="187" w:lineRule="exact"/>
              <w:rPr>
                <w:sz w:val="20"/>
                <w:szCs w:val="20"/>
                <w:color w:val="auto"/>
              </w:rPr>
            </w:pPr>
            <w:r>
              <w:rPr>
                <w:rFonts w:ascii="Times New Roman" w:cs="Times New Roman" w:eastAsia="Times New Roman" w:hAnsi="Times New Roman"/>
                <w:sz w:val="17"/>
                <w:szCs w:val="17"/>
                <w:color w:val="0000FF"/>
              </w:rPr>
              <w:t>215</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33126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gridSpan w:val="2"/>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01/14/2026</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44,030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92,417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of common stock represent shares of restricted stock that shall vest on January 14, 2027 (the "One Year Grant Anniversary Date"), subject to the Reporting Person's continued service.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Lawless,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Raymond W.</w:t>
      </w:r>
      <w:r>
        <w:rPr>
          <w:sz w:val="20"/>
          <w:szCs w:val="20"/>
          <w:color w:val="auto"/>
        </w:rPr>
        <w:tab/>
      </w:r>
      <w:r>
        <w:rPr>
          <w:rFonts w:ascii="Times New Roman" w:cs="Times New Roman" w:eastAsia="Times New Roman" w:hAnsi="Times New Roman"/>
          <w:sz w:val="17"/>
          <w:szCs w:val="17"/>
          <w:color w:val="0000FF"/>
        </w:rPr>
        <w:t>01/16/2026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1" w:lineRule="exact"/>
        <w:rPr>
          <w:sz w:val="20"/>
          <w:szCs w:val="20"/>
          <w:color w:val="auto"/>
        </w:rPr>
      </w:pPr>
    </w:p>
    <w:p>
      <w:pPr>
        <w:ind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Michael Lawless of InspireMD,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full power of substitution, signing individually, the undersigned’s true and lawful attorney-in-fact and agent to:</w:t>
      </w:r>
    </w:p>
    <w:p>
      <w:pPr>
        <w:spacing w:after="0" w:line="164" w:lineRule="exact"/>
        <w:rPr>
          <w:sz w:val="20"/>
          <w:szCs w:val="20"/>
          <w:color w:val="auto"/>
        </w:rPr>
      </w:pPr>
    </w:p>
    <w:p>
      <w:pPr>
        <w:jc w:val="both"/>
        <w:ind w:right="20" w:firstLine="646"/>
        <w:spacing w:after="0" w:line="256" w:lineRule="auto"/>
        <w:tabs>
          <w:tab w:leader="none" w:pos="8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any rule or regulation thereunder;</w:t>
      </w:r>
    </w:p>
    <w:p>
      <w:pPr>
        <w:spacing w:after="0" w:line="182" w:lineRule="exact"/>
        <w:rPr>
          <w:rFonts w:ascii="Times New Roman" w:cs="Times New Roman" w:eastAsia="Times New Roman" w:hAnsi="Times New Roman"/>
          <w:sz w:val="18"/>
          <w:szCs w:val="18"/>
          <w:color w:val="auto"/>
        </w:rPr>
      </w:pPr>
    </w:p>
    <w:p>
      <w:pPr>
        <w:jc w:val="both"/>
        <w:ind w:firstLine="646"/>
        <w:spacing w:after="0" w:line="284" w:lineRule="auto"/>
        <w:tabs>
          <w:tab w:leader="none" w:pos="82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 Forms 3, 4 and 5 (including amendments thereto and joint filing agreements in connection therewith) in accordance with Section 16(a) of the Exchange Act and the rules and regulations thereunder in the undersigned’s capacity as an officer, director or beneficial owner of more than 10% of a registered class of securities of the Company;</w:t>
      </w:r>
    </w:p>
    <w:p>
      <w:pPr>
        <w:spacing w:after="0" w:line="158" w:lineRule="exact"/>
        <w:rPr>
          <w:rFonts w:ascii="Times New Roman" w:cs="Times New Roman" w:eastAsia="Times New Roman" w:hAnsi="Times New Roman"/>
          <w:sz w:val="17"/>
          <w:szCs w:val="17"/>
          <w:color w:val="auto"/>
        </w:rPr>
      </w:pPr>
    </w:p>
    <w:p>
      <w:pPr>
        <w:jc w:val="both"/>
        <w:ind w:firstLine="646"/>
        <w:spacing w:after="0" w:line="261" w:lineRule="auto"/>
        <w:tabs>
          <w:tab w:leader="none" w:pos="8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execute such Forms 3, 4, or 5, or Form ID (including any amendments thereto) and timely file such forms with the SEC, and any stock exchange, self-regulatory association or similar authority; and</w:t>
      </w:r>
    </w:p>
    <w:p>
      <w:pPr>
        <w:spacing w:after="0" w:line="177" w:lineRule="exact"/>
        <w:rPr>
          <w:rFonts w:ascii="Times New Roman" w:cs="Times New Roman" w:eastAsia="Times New Roman" w:hAnsi="Times New Roman"/>
          <w:sz w:val="18"/>
          <w:szCs w:val="18"/>
          <w:color w:val="auto"/>
        </w:rPr>
      </w:pPr>
    </w:p>
    <w:p>
      <w:pPr>
        <w:jc w:val="both"/>
        <w:ind w:firstLine="646"/>
        <w:spacing w:after="0" w:line="256" w:lineRule="auto"/>
        <w:tabs>
          <w:tab w:leader="none" w:pos="8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caused this Power of Attorney to be executed as of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2026.</w:t>
      </w:r>
    </w:p>
    <w:p>
      <w:pPr>
        <w:spacing w:after="0" w:line="127"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W.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3130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Raymond W.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58288" TargetMode="External"/><Relationship Id="rId14" Type="http://schemas.openxmlformats.org/officeDocument/2006/relationships/hyperlink" Target="http://www.sec.gov/cgi-bin/browse-edgar?action=getcompany&amp;CIK=0001433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2026-01-16T17:12:52Z</dcterms:created>
  <dcterms:modified xsi:type="dcterms:W3CDTF">2026-01-16T17:12:52Z</dcterms:modified>
</cp:coreProperties>
</file>