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62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June 26,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626"/>
            <w:bookmarkEnd w:id="6"/>
            <w:r>
              <w:rPr>
                <w:rFonts w:ascii="Times New Roman;Times;Serif" w:hAnsi="Times New Roman;Times;Serif"/>
                <w:b/>
                <w:i w:val="false"/>
                <w:caps w:val="false"/>
                <w:smallCaps w:val="false"/>
                <w:sz w:val="20"/>
              </w:rPr>
              <w:t>001-35731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26-2123838</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470"/>
        <w:gridCol w:w="60"/>
        <w:gridCol w:w="935"/>
      </w:tblGrid>
      <w:tr>
        <w:trPr/>
        <w:tc>
          <w:tcPr>
            <w:tcW w:w="347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6303 Waterford District Drive, </w:t>
            </w:r>
            <w:bookmarkStart w:id="9" w:name="xdx_904_edei--EntityAddressAddressLine2_"/>
            <w:bookmarkEnd w:id="9"/>
            <w:r>
              <w:rPr>
                <w:rFonts w:ascii="Times New Roman;Times;Serif" w:hAnsi="Times New Roman;Times;Serif"/>
                <w:b/>
                <w:i w:val="false"/>
                <w:caps w:val="false"/>
                <w:smallCaps w:val="false"/>
                <w:sz w:val="20"/>
              </w:rPr>
              <w:t>Suite 215</w:t>
            </w:r>
          </w:p>
          <w:p>
            <w:pPr>
              <w:pStyle w:val="TableContents"/>
              <w:bidi w:val="0"/>
              <w:spacing w:before="0" w:after="0"/>
              <w:jc w:val="center"/>
              <w:rPr>
                <w:rFonts w:ascii="Times New Roman;Times;Serif" w:hAnsi="Times New Roman;Times;Serif"/>
                <w:b w:val="false"/>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Miami, </w:t>
            </w:r>
            <w:bookmarkStart w:id="11" w:name="xdx_90D_edei--EntityAddressStateOrProvin"/>
            <w:bookmarkEnd w:id="11"/>
            <w:r>
              <w:rPr>
                <w:rFonts w:ascii="Times New Roman;Times;Serif" w:hAnsi="Times New Roman;Times;Serif"/>
                <w:b/>
                <w:i w:val="false"/>
                <w:caps w:val="false"/>
                <w:smallCaps w:val="false"/>
                <w:sz w:val="20"/>
              </w:rPr>
              <w:t>Florida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33126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6744832</w:t>
            </w:r>
          </w:p>
        </w:tc>
      </w:tr>
      <w:tr>
        <w:trPr/>
        <w:tc>
          <w:tcPr>
            <w:tcW w:w="34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A_edei--CityAreaCode_c20260626__20"/>
      <w:bookmarkEnd w:id="13"/>
      <w:r>
        <w:rPr>
          <w:rFonts w:ascii="Times New Roman;Times;Serif" w:hAnsi="Times New Roman;Times;Serif"/>
          <w:b/>
          <w:i w:val="false"/>
          <w:caps w:val="false"/>
          <w:smallCaps w:val="false"/>
          <w:sz w:val="20"/>
        </w:rPr>
        <w:t>(888)</w:t>
      </w:r>
      <w:r>
        <w:rPr>
          <w:rFonts w:ascii="Times New Roman;Times;Serif" w:hAnsi="Times New Roman;Times;Serif"/>
          <w:b w:val="false"/>
          <w:i w:val="false"/>
          <w:caps w:val="false"/>
          <w:smallCaps w:val="false"/>
          <w:sz w:val="20"/>
        </w:rPr>
        <w:t xml:space="preserve"> </w:t>
      </w:r>
      <w:bookmarkStart w:id="14" w:name="xdx_905_edei--LocalPhoneNumber_c20260626"/>
      <w:bookmarkEnd w:id="14"/>
      <w:r>
        <w:rPr>
          <w:rFonts w:ascii="Times New Roman;Times;Serif" w:hAnsi="Times New Roman;Times;Serif"/>
          <w:b/>
          <w:i w:val="false"/>
          <w:caps w:val="false"/>
          <w:smallCaps w:val="false"/>
          <w:sz w:val="20"/>
        </w:rPr>
        <w:t>776-6804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06"/>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626"/>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626__2"/>
            <w:bookmarkEnd w:id="20"/>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8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Appointment of Certain Officers; Compensatory Arrangements of Certain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Mr. Raymond W. Cohen, a Class III member of the board of directors (the “Board”) of InspireMD, Inc. (the “Company”), a member of the Audit Committee of the Board and a member of the Compensation Committee of the Board, tendered his resignation from the Board, effective July 1, 2026. Mr. Cohen’s resignation from the Board was for personal considerations and not due to any disagreement with the Company, the Board or the management of the Company on any matter relating to the Company’s operations, policies, practices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intends to identify and evaluate suitable candidates to fill the vacancy created by Mr. Cohen’s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1520"/>
        <w:gridCol w:w="545"/>
        <w:gridCol w:w="1955"/>
      </w:tblGrid>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507</Words>
  <Characters>2802</Characters>
  <CharactersWithSpaces>3322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